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48FE9AD1" w:rsidR="00D76DBE" w:rsidRDefault="001E72D2" w:rsidP="00B162D0">
      <w:pPr>
        <w:jc w:val="both"/>
      </w:pPr>
      <w:r>
        <w:t xml:space="preserve">Nous </w:t>
      </w:r>
      <w:r w:rsidR="002F3636">
        <w:t>préparons les prévisions de ventes 2021. Nous vous confions le calcul des prévisions pour la catégorie « </w:t>
      </w:r>
      <w:r w:rsidR="007D4B4A">
        <w:t>J</w:t>
      </w:r>
      <w:r w:rsidR="002F3636">
        <w:t xml:space="preserve">eux de construction ». </w:t>
      </w:r>
    </w:p>
    <w:p w14:paraId="54A4391C" w14:textId="681473B2" w:rsidR="001E72D2" w:rsidRDefault="001E72D2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330761" w14:paraId="715633AB" w14:textId="77777777" w:rsidTr="00AC2BC5">
        <w:tc>
          <w:tcPr>
            <w:tcW w:w="8788" w:type="dxa"/>
            <w:shd w:val="clear" w:color="auto" w:fill="E7E6E6" w:themeFill="background2"/>
          </w:tcPr>
          <w:p w14:paraId="03051789" w14:textId="70FFB167" w:rsidR="00B251D4" w:rsidRDefault="00B251D4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calculs à effectuer en complétant l’Annexe</w:t>
            </w:r>
            <w:r w:rsidR="009B3D4C">
              <w:rPr>
                <w:b/>
                <w:bCs/>
              </w:rPr>
              <w:t>2 à l’aide de l’annexe 1</w:t>
            </w:r>
          </w:p>
          <w:p w14:paraId="24E49C8B" w14:textId="35911E3C" w:rsidR="00330761" w:rsidRPr="00330761" w:rsidRDefault="00330761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 w:rsidR="009B3D4C">
              <w:rPr>
                <w:b/>
                <w:bCs/>
              </w:rPr>
              <w:t xml:space="preserve"> Compléter le tableau des prévision Annexe 1</w:t>
            </w:r>
          </w:p>
        </w:tc>
      </w:tr>
    </w:tbl>
    <w:p w14:paraId="49766875" w14:textId="6A86184B" w:rsidR="001E72D2" w:rsidRDefault="001E72D2"/>
    <w:p w14:paraId="3988FC6B" w14:textId="77777777" w:rsidR="00B251D4" w:rsidRDefault="00B251D4"/>
    <w:p w14:paraId="1D6D3B55" w14:textId="413898F7" w:rsidR="00330761" w:rsidRPr="009B3D4C" w:rsidRDefault="009B3D4C" w:rsidP="00B251D4">
      <w:pPr>
        <w:spacing w:after="120"/>
        <w:ind w:left="142"/>
      </w:pPr>
      <w:r w:rsidRPr="009B3D4C">
        <w:rPr>
          <w:shd w:val="clear" w:color="auto" w:fill="E7E6E6" w:themeFill="background2"/>
        </w:rPr>
        <w:t>Annexe 1</w:t>
      </w:r>
      <w:r w:rsidR="00B251D4" w:rsidRPr="009B3D4C">
        <w:t xml:space="preserve"> </w:t>
      </w:r>
      <w:r w:rsidRPr="009B3D4C">
        <w:t>– Prévision 2021 « Jeux de construction »</w:t>
      </w:r>
    </w:p>
    <w:p w14:paraId="29273B5E" w14:textId="664D8595" w:rsidR="001E72D2" w:rsidRDefault="009B3D4C" w:rsidP="00B251D4">
      <w:pPr>
        <w:ind w:left="-709"/>
      </w:pPr>
      <w:r w:rsidRPr="009B3D4C">
        <w:rPr>
          <w:noProof/>
        </w:rPr>
        <w:drawing>
          <wp:inline distT="0" distB="0" distL="0" distR="0" wp14:anchorId="6637D468" wp14:editId="470A942C">
            <wp:extent cx="6770475" cy="1847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3569" cy="184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EDB73" w14:textId="45BA51F3" w:rsidR="001E72D2" w:rsidRDefault="001E72D2"/>
    <w:p w14:paraId="34076E1F" w14:textId="2FAF5733" w:rsidR="00B251D4" w:rsidRDefault="00B251D4" w:rsidP="00B251D4">
      <w:r w:rsidRPr="0086490F">
        <w:rPr>
          <w:shd w:val="clear" w:color="auto" w:fill="D0CECE" w:themeFill="background2" w:themeFillShade="E6"/>
        </w:rPr>
        <w:t>Annexe</w:t>
      </w:r>
      <w:r w:rsidR="0086490F" w:rsidRPr="0086490F">
        <w:rPr>
          <w:shd w:val="clear" w:color="auto" w:fill="D0CECE" w:themeFill="background2" w:themeFillShade="E6"/>
        </w:rPr>
        <w:t xml:space="preserve"> </w:t>
      </w:r>
      <w:r w:rsidR="009B3D4C">
        <w:rPr>
          <w:shd w:val="clear" w:color="auto" w:fill="D0CECE" w:themeFill="background2" w:themeFillShade="E6"/>
        </w:rPr>
        <w:t>2</w:t>
      </w:r>
      <w:r>
        <w:t>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394"/>
        <w:gridCol w:w="4394"/>
      </w:tblGrid>
      <w:tr w:rsidR="0086490F" w14:paraId="495CEE13" w14:textId="77777777" w:rsidTr="00AE6AD5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174139F" w14:textId="59D65159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DFB9FDF" w14:textId="77777777" w:rsidR="0086490F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3D21A0BD" w14:textId="0930EE01" w:rsidR="0086490F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E2054AA" w14:textId="3527547C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86490F" w14:paraId="3BFB444F" w14:textId="77777777" w:rsidTr="00AE6AD5">
        <w:trPr>
          <w:trHeight w:val="669"/>
        </w:trPr>
        <w:tc>
          <w:tcPr>
            <w:tcW w:w="988" w:type="dxa"/>
            <w:shd w:val="clear" w:color="auto" w:fill="FFFFFF" w:themeFill="background1"/>
            <w:vAlign w:val="center"/>
          </w:tcPr>
          <w:p w14:paraId="0D263376" w14:textId="05F5BBBF" w:rsidR="0086490F" w:rsidRPr="005B6A57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>AB10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D90E035" w14:textId="69E29F4C" w:rsidR="0086490F" w:rsidRPr="0094190D" w:rsidRDefault="00AE6AD5" w:rsidP="0094190D">
            <w:pPr>
              <w:rPr>
                <w:smallCaps/>
                <w:color w:val="C45911" w:themeColor="accent2" w:themeShade="BF"/>
              </w:rPr>
            </w:pPr>
            <w:r>
              <w:rPr>
                <w:smallCaps/>
                <w:color w:val="C45911" w:themeColor="accent2" w:themeShade="BF"/>
              </w:rPr>
              <w:t>39,00 x 450 = 17 550,00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9F5F66C" w14:textId="5982B63E" w:rsidR="0086490F" w:rsidRPr="0094190D" w:rsidRDefault="00AE6AD5" w:rsidP="0094190D">
            <w:pPr>
              <w:rPr>
                <w:smallCaps/>
                <w:color w:val="C45911" w:themeColor="accent2" w:themeShade="BF"/>
              </w:rPr>
            </w:pPr>
            <w:r>
              <w:rPr>
                <w:smallCaps/>
                <w:color w:val="C45911" w:themeColor="accent2" w:themeShade="BF"/>
              </w:rPr>
              <w:t>=z*AA</w:t>
            </w:r>
          </w:p>
        </w:tc>
      </w:tr>
      <w:tr w:rsidR="0086490F" w14:paraId="0E420870" w14:textId="77777777" w:rsidTr="00AE6AD5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BB3078A" w14:textId="77777777" w:rsidR="0086490F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40D86073" w:rsidR="0086490F" w:rsidRPr="005B6A57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3E90A6F" w14:textId="3F56D4F3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86490F" w14:paraId="49391CC0" w14:textId="77777777" w:rsidTr="00AE6AD5">
        <w:trPr>
          <w:trHeight w:val="693"/>
        </w:trPr>
        <w:tc>
          <w:tcPr>
            <w:tcW w:w="988" w:type="dxa"/>
            <w:vAlign w:val="center"/>
          </w:tcPr>
          <w:p w14:paraId="53A7DB4E" w14:textId="6FE028E5" w:rsidR="0086490F" w:rsidRDefault="0086490F" w:rsidP="0086490F">
            <w:pPr>
              <w:jc w:val="center"/>
            </w:pPr>
            <w:r>
              <w:t>AD10</w:t>
            </w:r>
          </w:p>
        </w:tc>
        <w:tc>
          <w:tcPr>
            <w:tcW w:w="4394" w:type="dxa"/>
          </w:tcPr>
          <w:p w14:paraId="4A87EC49" w14:textId="77777777" w:rsidR="0086490F" w:rsidRDefault="00AE6AD5" w:rsidP="0086490F">
            <w:pPr>
              <w:rPr>
                <w:smallCaps/>
                <w:color w:val="C45911" w:themeColor="accent2" w:themeShade="BF"/>
              </w:rPr>
            </w:pPr>
            <w:r w:rsidRPr="00AE6AD5">
              <w:rPr>
                <w:smallCaps/>
                <w:color w:val="C45911" w:themeColor="accent2" w:themeShade="BF"/>
              </w:rPr>
              <w:t>17550,00</w:t>
            </w:r>
            <w:r w:rsidRPr="00AE6AD5">
              <w:rPr>
                <w:smallCaps/>
                <w:color w:val="C45911" w:themeColor="accent2" w:themeShade="BF"/>
              </w:rPr>
              <w:t xml:space="preserve"> + (17550,00 x 20/100) =21060,00</w:t>
            </w:r>
          </w:p>
          <w:p w14:paraId="6995301A" w14:textId="7142DEC2" w:rsidR="00AE6AD5" w:rsidRPr="00AE6AD5" w:rsidRDefault="00AE6AD5" w:rsidP="0086490F">
            <w:pPr>
              <w:rPr>
                <w:smallCaps/>
                <w:color w:val="C45911" w:themeColor="accent2" w:themeShade="BF"/>
              </w:rPr>
            </w:pPr>
            <w:r>
              <w:rPr>
                <w:smallCaps/>
                <w:color w:val="C45911" w:themeColor="accent2" w:themeShade="BF"/>
              </w:rPr>
              <w:t xml:space="preserve">ou 17550 x 1,20 </w:t>
            </w:r>
          </w:p>
        </w:tc>
        <w:tc>
          <w:tcPr>
            <w:tcW w:w="4394" w:type="dxa"/>
          </w:tcPr>
          <w:p w14:paraId="24D82484" w14:textId="622C9AA9" w:rsidR="0086490F" w:rsidRDefault="00AE6AD5" w:rsidP="0086490F">
            <w:pPr>
              <w:rPr>
                <w:smallCaps/>
                <w:color w:val="C45911" w:themeColor="accent2" w:themeShade="BF"/>
              </w:rPr>
            </w:pPr>
            <w:r w:rsidRPr="00AE6AD5">
              <w:rPr>
                <w:smallCaps/>
                <w:color w:val="C45911" w:themeColor="accent2" w:themeShade="BF"/>
              </w:rPr>
              <w:t>=AB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 xml:space="preserve"> + (AB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 xml:space="preserve"> *AC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>)</w:t>
            </w:r>
          </w:p>
          <w:p w14:paraId="1B633D73" w14:textId="0E969D24" w:rsidR="00AE6AD5" w:rsidRPr="00AE6AD5" w:rsidRDefault="00AE6AD5" w:rsidP="0086490F">
            <w:pPr>
              <w:rPr>
                <w:smallCaps/>
                <w:color w:val="C45911" w:themeColor="accent2" w:themeShade="BF"/>
              </w:rPr>
            </w:pPr>
            <w:r>
              <w:rPr>
                <w:smallCaps/>
                <w:color w:val="C45911" w:themeColor="accent2" w:themeShade="BF"/>
              </w:rPr>
              <w:t>=AB10 * (1+AC10)</w:t>
            </w:r>
          </w:p>
        </w:tc>
      </w:tr>
      <w:tr w:rsidR="0086490F" w14:paraId="26A5E4C2" w14:textId="77777777" w:rsidTr="00AE6AD5">
        <w:trPr>
          <w:trHeight w:val="703"/>
        </w:trPr>
        <w:tc>
          <w:tcPr>
            <w:tcW w:w="988" w:type="dxa"/>
            <w:vAlign w:val="center"/>
          </w:tcPr>
          <w:p w14:paraId="7A80B9F8" w14:textId="395C7BC9" w:rsidR="0086490F" w:rsidRDefault="0086490F" w:rsidP="0086490F">
            <w:pPr>
              <w:jc w:val="center"/>
            </w:pPr>
            <w:r>
              <w:t>AD15</w:t>
            </w:r>
          </w:p>
        </w:tc>
        <w:tc>
          <w:tcPr>
            <w:tcW w:w="4394" w:type="dxa"/>
          </w:tcPr>
          <w:p w14:paraId="420E22AC" w14:textId="77777777" w:rsidR="0086490F" w:rsidRPr="00AE6AD5" w:rsidRDefault="00AE6AD5" w:rsidP="0086490F">
            <w:pPr>
              <w:rPr>
                <w:color w:val="C45911" w:themeColor="accent2" w:themeShade="BF"/>
              </w:rPr>
            </w:pPr>
            <w:r w:rsidRPr="00AE6AD5">
              <w:rPr>
                <w:color w:val="C45911" w:themeColor="accent2" w:themeShade="BF"/>
              </w:rPr>
              <w:t>5591,30 – (5591,30 x 9/100) = 5088.08</w:t>
            </w:r>
          </w:p>
          <w:p w14:paraId="376B5628" w14:textId="0573AE39" w:rsidR="00AE6AD5" w:rsidRPr="00AE6AD5" w:rsidRDefault="00AE6AD5" w:rsidP="0086490F">
            <w:r w:rsidRPr="00AE6AD5">
              <w:rPr>
                <w:color w:val="C45911" w:themeColor="accent2" w:themeShade="BF"/>
              </w:rPr>
              <w:t>Ou 5591,30 x 0,91</w:t>
            </w:r>
            <w:r w:rsidRPr="00AE6AD5">
              <w:t xml:space="preserve"> </w:t>
            </w:r>
          </w:p>
        </w:tc>
        <w:tc>
          <w:tcPr>
            <w:tcW w:w="4394" w:type="dxa"/>
          </w:tcPr>
          <w:p w14:paraId="4F10F20B" w14:textId="55E45DCD" w:rsidR="00AE6AD5" w:rsidRPr="00AE6AD5" w:rsidRDefault="00AE6AD5" w:rsidP="00AE6AD5">
            <w:pPr>
              <w:rPr>
                <w:color w:val="C45911" w:themeColor="accent2" w:themeShade="BF"/>
              </w:rPr>
            </w:pPr>
            <w:r w:rsidRPr="00AE6AD5">
              <w:rPr>
                <w:color w:val="C45911" w:themeColor="accent2" w:themeShade="BF"/>
              </w:rPr>
              <w:t>=AB1</w:t>
            </w:r>
            <w:r w:rsidRPr="00AE6AD5">
              <w:rPr>
                <w:color w:val="C45911" w:themeColor="accent2" w:themeShade="BF"/>
              </w:rPr>
              <w:t>5</w:t>
            </w:r>
            <w:r w:rsidRPr="00AE6AD5">
              <w:rPr>
                <w:color w:val="C45911" w:themeColor="accent2" w:themeShade="BF"/>
              </w:rPr>
              <w:t xml:space="preserve"> + (AB1</w:t>
            </w:r>
            <w:r w:rsidRPr="00AE6AD5">
              <w:rPr>
                <w:color w:val="C45911" w:themeColor="accent2" w:themeShade="BF"/>
              </w:rPr>
              <w:t>5</w:t>
            </w:r>
            <w:r w:rsidRPr="00AE6AD5">
              <w:rPr>
                <w:color w:val="C45911" w:themeColor="accent2" w:themeShade="BF"/>
              </w:rPr>
              <w:t xml:space="preserve"> *AC1</w:t>
            </w:r>
            <w:r w:rsidRPr="00AE6AD5">
              <w:rPr>
                <w:color w:val="C45911" w:themeColor="accent2" w:themeShade="BF"/>
              </w:rPr>
              <w:t>5</w:t>
            </w:r>
            <w:r w:rsidRPr="00AE6AD5">
              <w:rPr>
                <w:color w:val="C45911" w:themeColor="accent2" w:themeShade="BF"/>
              </w:rPr>
              <w:t>)</w:t>
            </w:r>
          </w:p>
          <w:p w14:paraId="7C29300F" w14:textId="19F5AACC" w:rsidR="00AE6AD5" w:rsidRPr="00AE6AD5" w:rsidRDefault="00AE6AD5" w:rsidP="00AE6AD5">
            <w:pPr>
              <w:rPr>
                <w:color w:val="C45911" w:themeColor="accent2" w:themeShade="BF"/>
              </w:rPr>
            </w:pPr>
            <w:r w:rsidRPr="00AE6AD5">
              <w:rPr>
                <w:color w:val="C45911" w:themeColor="accent2" w:themeShade="BF"/>
              </w:rPr>
              <w:t>=AB1</w:t>
            </w:r>
            <w:r w:rsidRPr="00AE6AD5">
              <w:rPr>
                <w:color w:val="C45911" w:themeColor="accent2" w:themeShade="BF"/>
              </w:rPr>
              <w:t>5</w:t>
            </w:r>
            <w:r w:rsidRPr="00AE6AD5">
              <w:rPr>
                <w:color w:val="C45911" w:themeColor="accent2" w:themeShade="BF"/>
              </w:rPr>
              <w:t xml:space="preserve"> * (1+AC1</w:t>
            </w:r>
            <w:r w:rsidRPr="00AE6AD5">
              <w:rPr>
                <w:color w:val="C45911" w:themeColor="accent2" w:themeShade="BF"/>
              </w:rPr>
              <w:t>5</w:t>
            </w:r>
            <w:r w:rsidRPr="00AE6AD5">
              <w:rPr>
                <w:color w:val="C45911" w:themeColor="accent2" w:themeShade="BF"/>
              </w:rPr>
              <w:t>)</w:t>
            </w:r>
            <w:r w:rsidRPr="00AE6AD5">
              <w:rPr>
                <w:color w:val="C45911" w:themeColor="accent2" w:themeShade="BF"/>
              </w:rPr>
              <w:t xml:space="preserve"> </w:t>
            </w:r>
          </w:p>
          <w:p w14:paraId="2BD50823" w14:textId="5E48419B" w:rsidR="0086490F" w:rsidRPr="00AE6AD5" w:rsidRDefault="00AE6AD5" w:rsidP="00AE6AD5">
            <w:r w:rsidRPr="00AE6AD5">
              <w:rPr>
                <w:color w:val="C45911" w:themeColor="accent2" w:themeShade="BF"/>
              </w:rPr>
              <w:t>Le signe – devant le % permet la di</w:t>
            </w:r>
            <w:r>
              <w:rPr>
                <w:color w:val="C45911" w:themeColor="accent2" w:themeShade="BF"/>
              </w:rPr>
              <w:t>minution</w:t>
            </w:r>
          </w:p>
        </w:tc>
      </w:tr>
    </w:tbl>
    <w:p w14:paraId="09FED3C5" w14:textId="77777777" w:rsidR="000571E2" w:rsidRDefault="000571E2">
      <w:r>
        <w:br w:type="page"/>
      </w:r>
    </w:p>
    <w:p w14:paraId="3DA4349E" w14:textId="6BB21E07" w:rsidR="0086490F" w:rsidRDefault="009B3D4C">
      <w:r>
        <w:lastRenderedPageBreak/>
        <w:t>Les prévisions de ventes 2021 sont déterminées sur les autres catégories d’articles.</w:t>
      </w:r>
    </w:p>
    <w:p w14:paraId="71E8132C" w14:textId="77777777" w:rsidR="009B3D4C" w:rsidRDefault="009B3D4C" w:rsidP="009B3D4C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9B3D4C" w14:paraId="7842B98F" w14:textId="77777777" w:rsidTr="009B5A80">
        <w:tc>
          <w:tcPr>
            <w:tcW w:w="8788" w:type="dxa"/>
            <w:shd w:val="clear" w:color="auto" w:fill="E7E6E6" w:themeFill="background2"/>
          </w:tcPr>
          <w:p w14:paraId="6F346EB3" w14:textId="67FCD66C" w:rsidR="009B3D4C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3</w:t>
            </w:r>
          </w:p>
          <w:p w14:paraId="4987C2A3" w14:textId="6DB54E49" w:rsidR="009B3D4C" w:rsidRPr="00330761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Trouver le pourcentage d’évolution du chiffre d’affaires Annexe 4 à l’aide de l’Annexe 3</w:t>
            </w:r>
          </w:p>
        </w:tc>
      </w:tr>
    </w:tbl>
    <w:p w14:paraId="32D594B1" w14:textId="3A009E2F" w:rsidR="009B3D4C" w:rsidRDefault="009B3D4C" w:rsidP="009B3D4C"/>
    <w:p w14:paraId="44C138B5" w14:textId="77777777" w:rsidR="009B3D4C" w:rsidRDefault="009B3D4C" w:rsidP="009B3D4C"/>
    <w:p w14:paraId="530E5C56" w14:textId="6A719744" w:rsidR="009B3D4C" w:rsidRPr="009B3D4C" w:rsidRDefault="009B3D4C" w:rsidP="009B3D4C">
      <w:r w:rsidRPr="009B3D4C">
        <w:rPr>
          <w:shd w:val="clear" w:color="auto" w:fill="D0CECE" w:themeFill="background2" w:themeFillShade="E6"/>
        </w:rPr>
        <w:t>Annexe 3</w:t>
      </w:r>
      <w:r w:rsidRPr="009B3D4C">
        <w:t>– Prévision 2021 « </w:t>
      </w:r>
      <w:r>
        <w:t>Livres et documentation</w:t>
      </w:r>
      <w:r w:rsidRPr="009B3D4C">
        <w:t> »</w:t>
      </w:r>
    </w:p>
    <w:p w14:paraId="6E37F7D5" w14:textId="77777777" w:rsidR="0086490F" w:rsidRDefault="0086490F" w:rsidP="0086490F">
      <w:pPr>
        <w:spacing w:before="2"/>
        <w:rPr>
          <w:sz w:val="15"/>
        </w:rPr>
      </w:pPr>
    </w:p>
    <w:p w14:paraId="56804317" w14:textId="27D325B4" w:rsidR="0086490F" w:rsidRDefault="00576ED3" w:rsidP="0086490F">
      <w:pPr>
        <w:spacing w:before="10"/>
        <w:rPr>
          <w:sz w:val="19"/>
        </w:rPr>
      </w:pPr>
      <w:r w:rsidRPr="00576ED3">
        <w:drawing>
          <wp:inline distT="0" distB="0" distL="0" distR="0" wp14:anchorId="00FCB781" wp14:editId="72C98900">
            <wp:extent cx="5760720" cy="18738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AC2D" w14:textId="5E3F1CCD" w:rsidR="009B3D4C" w:rsidRDefault="009B3D4C" w:rsidP="0086490F">
      <w:pPr>
        <w:spacing w:before="10"/>
        <w:rPr>
          <w:sz w:val="19"/>
        </w:rPr>
      </w:pPr>
    </w:p>
    <w:p w14:paraId="540627DB" w14:textId="7BA869C8" w:rsidR="009B3D4C" w:rsidRPr="009B3D4C" w:rsidRDefault="009B3D4C" w:rsidP="009B3D4C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</w:t>
      </w:r>
      <w:r>
        <w:t>Complément</w:t>
      </w:r>
    </w:p>
    <w:p w14:paraId="3640D83D" w14:textId="77777777" w:rsidR="009B3D4C" w:rsidRDefault="009B3D4C" w:rsidP="0086490F">
      <w:pPr>
        <w:spacing w:before="10"/>
        <w:rPr>
          <w:sz w:val="19"/>
        </w:rPr>
      </w:pPr>
    </w:p>
    <w:tbl>
      <w:tblPr>
        <w:tblStyle w:val="TableNormal"/>
        <w:tblW w:w="0" w:type="auto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706"/>
      </w:tblGrid>
      <w:tr w:rsidR="0094251A" w14:paraId="3DFC8609" w14:textId="77777777" w:rsidTr="009B3D4C">
        <w:trPr>
          <w:trHeight w:val="779"/>
        </w:trPr>
        <w:tc>
          <w:tcPr>
            <w:tcW w:w="3333" w:type="dxa"/>
            <w:vAlign w:val="center"/>
          </w:tcPr>
          <w:p w14:paraId="426AFB2D" w14:textId="77777777" w:rsidR="0094251A" w:rsidRDefault="0094251A" w:rsidP="009B5A80">
            <w:pPr>
              <w:pStyle w:val="TableParagraph"/>
              <w:spacing w:before="121"/>
              <w:ind w:left="184" w:hanging="2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 xml:space="preserve">LES LIVRES &amp; </w:t>
            </w:r>
            <w:r>
              <w:rPr>
                <w:b/>
                <w:color w:val="6F2F9F"/>
                <w:sz w:val="24"/>
              </w:rPr>
              <w:t>DOCUMENTATIONS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7B7CAC25" w14:textId="77777777" w:rsidR="0094251A" w:rsidRPr="009B3D4C" w:rsidRDefault="009B3D4C" w:rsidP="009B3D4C">
            <w:pPr>
              <w:pStyle w:val="TableParagraph"/>
              <w:ind w:left="414" w:right="288" w:hanging="20"/>
              <w:jc w:val="center"/>
              <w:rPr>
                <w:b/>
                <w:w w:val="105"/>
                <w:szCs w:val="24"/>
              </w:rPr>
            </w:pPr>
            <w:r w:rsidRPr="009B3D4C">
              <w:rPr>
                <w:b/>
                <w:w w:val="105"/>
                <w:szCs w:val="24"/>
              </w:rPr>
              <w:t>Évolution</w:t>
            </w:r>
          </w:p>
          <w:p w14:paraId="1D32B954" w14:textId="7C7B04E3" w:rsidR="009B3D4C" w:rsidRDefault="009B3D4C" w:rsidP="009B3D4C">
            <w:pPr>
              <w:pStyle w:val="TableParagraph"/>
              <w:ind w:left="414" w:right="288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</w:tr>
      <w:tr w:rsidR="0094251A" w14:paraId="18B199A0" w14:textId="77777777" w:rsidTr="009B3D4C">
        <w:trPr>
          <w:trHeight w:val="585"/>
        </w:trPr>
        <w:tc>
          <w:tcPr>
            <w:tcW w:w="3333" w:type="dxa"/>
            <w:vAlign w:val="center"/>
          </w:tcPr>
          <w:p w14:paraId="1BAEDBCB" w14:textId="77777777" w:rsidR="0094251A" w:rsidRPr="0086490F" w:rsidRDefault="0094251A" w:rsidP="009B5A80">
            <w:pPr>
              <w:pStyle w:val="TableParagraph"/>
              <w:spacing w:before="3" w:line="290" w:lineRule="atLeast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ABC des constructions Tome 1, 2 &amp; 3</w:t>
            </w:r>
          </w:p>
        </w:tc>
        <w:tc>
          <w:tcPr>
            <w:tcW w:w="1706" w:type="dxa"/>
            <w:vAlign w:val="center"/>
          </w:tcPr>
          <w:p w14:paraId="1E32AA07" w14:textId="11E605C6" w:rsidR="0094251A" w:rsidRPr="00576ED3" w:rsidRDefault="00576ED3" w:rsidP="009B5A8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0"/>
              </w:rPr>
            </w:pPr>
            <w:r w:rsidRPr="00576ED3">
              <w:rPr>
                <w:rFonts w:cstheme="minorHAnsi"/>
                <w:b/>
                <w:bCs/>
                <w:color w:val="C45911" w:themeColor="accent2" w:themeShade="BF"/>
                <w:sz w:val="20"/>
              </w:rPr>
              <w:t>11</w:t>
            </w:r>
          </w:p>
        </w:tc>
      </w:tr>
      <w:tr w:rsidR="0094251A" w14:paraId="17987904" w14:textId="77777777" w:rsidTr="009B3D4C">
        <w:trPr>
          <w:trHeight w:val="779"/>
        </w:trPr>
        <w:tc>
          <w:tcPr>
            <w:tcW w:w="3333" w:type="dxa"/>
            <w:vAlign w:val="center"/>
          </w:tcPr>
          <w:p w14:paraId="705F42BF" w14:textId="77777777" w:rsidR="0094251A" w:rsidRPr="0086490F" w:rsidRDefault="0094251A" w:rsidP="009B5A80">
            <w:pPr>
              <w:pStyle w:val="TableParagraph"/>
              <w:spacing w:before="49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Téléchargement ABC des constructions Tome 1, 2</w:t>
            </w:r>
          </w:p>
          <w:p w14:paraId="11909F5D" w14:textId="77777777" w:rsidR="0094251A" w:rsidRPr="0086490F" w:rsidRDefault="0094251A" w:rsidP="009B5A80">
            <w:pPr>
              <w:pStyle w:val="TableParagraph"/>
              <w:spacing w:line="222" w:lineRule="exact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&amp; 3</w:t>
            </w:r>
          </w:p>
        </w:tc>
        <w:tc>
          <w:tcPr>
            <w:tcW w:w="1706" w:type="dxa"/>
            <w:vAlign w:val="center"/>
          </w:tcPr>
          <w:p w14:paraId="743E5D91" w14:textId="40784948" w:rsidR="0094251A" w:rsidRPr="00576ED3" w:rsidRDefault="00576ED3" w:rsidP="009B5A8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0"/>
              </w:rPr>
            </w:pPr>
            <w:r w:rsidRPr="00576ED3">
              <w:rPr>
                <w:rFonts w:cstheme="minorHAnsi"/>
                <w:b/>
                <w:bCs/>
                <w:color w:val="C45911" w:themeColor="accent2" w:themeShade="BF"/>
                <w:sz w:val="20"/>
              </w:rPr>
              <w:t>3</w:t>
            </w:r>
          </w:p>
        </w:tc>
      </w:tr>
      <w:tr w:rsidR="0094251A" w14:paraId="2FF5FD60" w14:textId="77777777" w:rsidTr="009B3D4C">
        <w:trPr>
          <w:trHeight w:val="569"/>
        </w:trPr>
        <w:tc>
          <w:tcPr>
            <w:tcW w:w="3333" w:type="dxa"/>
            <w:vAlign w:val="center"/>
          </w:tcPr>
          <w:p w14:paraId="4F675350" w14:textId="77777777" w:rsidR="0094251A" w:rsidRPr="0086490F" w:rsidRDefault="0094251A" w:rsidP="009B5A80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Coffret livre planchette couleur</w:t>
            </w:r>
          </w:p>
        </w:tc>
        <w:tc>
          <w:tcPr>
            <w:tcW w:w="1706" w:type="dxa"/>
            <w:vAlign w:val="center"/>
          </w:tcPr>
          <w:p w14:paraId="49F3FB21" w14:textId="61A02C84" w:rsidR="0094251A" w:rsidRPr="00576ED3" w:rsidRDefault="00576ED3" w:rsidP="009B5A8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0"/>
              </w:rPr>
            </w:pPr>
            <w:r w:rsidRPr="00576ED3">
              <w:rPr>
                <w:rFonts w:cstheme="minorHAnsi"/>
                <w:b/>
                <w:bCs/>
                <w:color w:val="C45911" w:themeColor="accent2" w:themeShade="BF"/>
                <w:sz w:val="20"/>
              </w:rPr>
              <w:t>6</w:t>
            </w:r>
          </w:p>
        </w:tc>
      </w:tr>
      <w:tr w:rsidR="0094251A" w14:paraId="0ECF68A3" w14:textId="77777777" w:rsidTr="009B3D4C">
        <w:trPr>
          <w:trHeight w:val="566"/>
        </w:trPr>
        <w:tc>
          <w:tcPr>
            <w:tcW w:w="3333" w:type="dxa"/>
            <w:vAlign w:val="center"/>
          </w:tcPr>
          <w:p w14:paraId="0B06244B" w14:textId="77777777" w:rsidR="0094251A" w:rsidRPr="0086490F" w:rsidRDefault="0094251A" w:rsidP="009B5A80">
            <w:pPr>
              <w:pStyle w:val="TableParagraph"/>
              <w:spacing w:before="63" w:line="240" w:lineRule="atLeast"/>
              <w:ind w:left="107" w:right="148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Atelier Jouécabois spécial école</w:t>
            </w:r>
          </w:p>
        </w:tc>
        <w:tc>
          <w:tcPr>
            <w:tcW w:w="1706" w:type="dxa"/>
            <w:vAlign w:val="center"/>
          </w:tcPr>
          <w:p w14:paraId="05AB119D" w14:textId="0B0770F4" w:rsidR="0094251A" w:rsidRPr="00576ED3" w:rsidRDefault="00576ED3" w:rsidP="009B5A8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0"/>
              </w:rPr>
            </w:pPr>
            <w:r w:rsidRPr="00576ED3">
              <w:rPr>
                <w:rFonts w:cstheme="minorHAnsi"/>
                <w:b/>
                <w:bCs/>
                <w:color w:val="C45911" w:themeColor="accent2" w:themeShade="BF"/>
                <w:sz w:val="20"/>
              </w:rPr>
              <w:t>20</w:t>
            </w:r>
          </w:p>
        </w:tc>
      </w:tr>
      <w:tr w:rsidR="0094251A" w14:paraId="4F8A4C33" w14:textId="77777777" w:rsidTr="009B3D4C">
        <w:trPr>
          <w:trHeight w:val="754"/>
        </w:trPr>
        <w:tc>
          <w:tcPr>
            <w:tcW w:w="3333" w:type="dxa"/>
            <w:vAlign w:val="center"/>
          </w:tcPr>
          <w:p w14:paraId="45EDFC52" w14:textId="77777777" w:rsidR="0094251A" w:rsidRPr="0086490F" w:rsidRDefault="0094251A" w:rsidP="009B5A80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Téléchargement Atelier Jouécabois spécial école</w:t>
            </w:r>
          </w:p>
        </w:tc>
        <w:tc>
          <w:tcPr>
            <w:tcW w:w="1706" w:type="dxa"/>
            <w:vAlign w:val="center"/>
          </w:tcPr>
          <w:p w14:paraId="55F5BE17" w14:textId="037BEA3A" w:rsidR="0094251A" w:rsidRPr="00576ED3" w:rsidRDefault="00576ED3" w:rsidP="009B5A8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0"/>
              </w:rPr>
            </w:pPr>
            <w:r w:rsidRPr="00576ED3">
              <w:rPr>
                <w:rFonts w:cstheme="minorHAnsi"/>
                <w:b/>
                <w:bCs/>
                <w:color w:val="C45911" w:themeColor="accent2" w:themeShade="BF"/>
                <w:sz w:val="20"/>
              </w:rPr>
              <w:t>20</w:t>
            </w:r>
          </w:p>
        </w:tc>
      </w:tr>
    </w:tbl>
    <w:p w14:paraId="0D6A43D2" w14:textId="13946CC0" w:rsidR="0086490F" w:rsidRDefault="0086490F" w:rsidP="0086490F">
      <w:pPr>
        <w:spacing w:before="10"/>
        <w:rPr>
          <w:sz w:val="19"/>
        </w:rPr>
      </w:pPr>
    </w:p>
    <w:p w14:paraId="401CAF75" w14:textId="2783EDB4" w:rsidR="0094251A" w:rsidRDefault="0094251A" w:rsidP="0086490F">
      <w:pPr>
        <w:spacing w:before="10"/>
        <w:rPr>
          <w:sz w:val="19"/>
        </w:rPr>
      </w:pPr>
    </w:p>
    <w:p w14:paraId="2C3A8F78" w14:textId="7842FEFB" w:rsidR="009B3D4C" w:rsidRDefault="009B3D4C">
      <w:pPr>
        <w:rPr>
          <w:sz w:val="19"/>
        </w:rPr>
      </w:pPr>
      <w:r>
        <w:rPr>
          <w:sz w:val="19"/>
        </w:rPr>
        <w:br w:type="page"/>
      </w:r>
    </w:p>
    <w:p w14:paraId="777CB711" w14:textId="77777777" w:rsidR="00265782" w:rsidRDefault="00265782" w:rsidP="009B3D4C">
      <w:pPr>
        <w:rPr>
          <w:sz w:val="24"/>
          <w:szCs w:val="24"/>
        </w:rPr>
      </w:pPr>
    </w:p>
    <w:p w14:paraId="2D5C8769" w14:textId="00527C71" w:rsidR="009B3D4C" w:rsidRPr="00265782" w:rsidRDefault="009B3D4C" w:rsidP="009B3D4C">
      <w:pPr>
        <w:rPr>
          <w:sz w:val="24"/>
          <w:szCs w:val="24"/>
        </w:rPr>
      </w:pPr>
      <w:r w:rsidRPr="00265782">
        <w:rPr>
          <w:sz w:val="24"/>
          <w:szCs w:val="24"/>
        </w:rPr>
        <w:t>Les prévisions de ventes 2021 sont déterminées sur les autres catégories d’articles.</w:t>
      </w:r>
    </w:p>
    <w:p w14:paraId="51C39CA3" w14:textId="77777777" w:rsidR="009B3D4C" w:rsidRDefault="009B3D4C" w:rsidP="009B3D4C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9B3D4C" w14:paraId="052E14C4" w14:textId="77777777" w:rsidTr="009B5A80">
        <w:tc>
          <w:tcPr>
            <w:tcW w:w="8788" w:type="dxa"/>
            <w:shd w:val="clear" w:color="auto" w:fill="E7E6E6" w:themeFill="background2"/>
          </w:tcPr>
          <w:p w14:paraId="585CFCB8" w14:textId="5767FA18" w:rsidR="009B3D4C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4</w:t>
            </w:r>
          </w:p>
          <w:p w14:paraId="02580114" w14:textId="77777777" w:rsidR="009B3D4C" w:rsidRPr="00330761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Calculer le montant </w:t>
            </w:r>
            <w:r>
              <w:rPr>
                <w:b/>
                <w:bCs/>
              </w:rPr>
              <w:t>du chiffre d’affaires 2021 en fonction de son pourcentage d’évolution</w:t>
            </w:r>
          </w:p>
        </w:tc>
      </w:tr>
    </w:tbl>
    <w:p w14:paraId="53DF5508" w14:textId="0687F3FA" w:rsidR="009B3D4C" w:rsidRDefault="009B3D4C" w:rsidP="009B3D4C"/>
    <w:p w14:paraId="28A775CB" w14:textId="77777777" w:rsidR="00265782" w:rsidRDefault="00265782" w:rsidP="009B3D4C"/>
    <w:p w14:paraId="39CDFCB9" w14:textId="77777777" w:rsidR="009B3D4C" w:rsidRDefault="009B3D4C" w:rsidP="009B3D4C"/>
    <w:p w14:paraId="2E6DE827" w14:textId="76C67EFD" w:rsidR="0094251A" w:rsidRPr="009B3D4C" w:rsidRDefault="009B3D4C" w:rsidP="009B3D4C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>– Prévision 2021 « </w:t>
      </w:r>
      <w:r>
        <w:t>Livres et documentation</w:t>
      </w:r>
      <w:r w:rsidRPr="009B3D4C">
        <w:t> »</w:t>
      </w:r>
    </w:p>
    <w:p w14:paraId="68556AB5" w14:textId="77777777" w:rsidR="0094251A" w:rsidRDefault="0094251A" w:rsidP="0086490F">
      <w:pPr>
        <w:spacing w:before="10"/>
        <w:rPr>
          <w:sz w:val="19"/>
        </w:rPr>
      </w:pPr>
    </w:p>
    <w:p w14:paraId="7D5CDA84" w14:textId="7F217A70" w:rsidR="0086490F" w:rsidRDefault="00576ED3">
      <w:r w:rsidRPr="00576ED3">
        <w:drawing>
          <wp:inline distT="0" distB="0" distL="0" distR="0" wp14:anchorId="49614F50" wp14:editId="34736FAD">
            <wp:extent cx="5760720" cy="1861185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47A5" w14:textId="471EE52D" w:rsidR="000571E2" w:rsidRDefault="000571E2" w:rsidP="000571E2">
      <w:pPr>
        <w:spacing w:before="120" w:line="360" w:lineRule="auto"/>
      </w:pPr>
    </w:p>
    <w:p w14:paraId="174ED793" w14:textId="3C266EFC" w:rsidR="009B3D4C" w:rsidRDefault="009B3D4C" w:rsidP="000571E2">
      <w:pPr>
        <w:spacing w:before="120" w:line="360" w:lineRule="auto"/>
      </w:pPr>
    </w:p>
    <w:p w14:paraId="2396901D" w14:textId="77777777" w:rsidR="000571E2" w:rsidRDefault="000571E2" w:rsidP="000571E2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223672C" w14:textId="77777777" w:rsidR="000571E2" w:rsidRDefault="000571E2" w:rsidP="000571E2">
      <w:pPr>
        <w:spacing w:before="3"/>
        <w:rPr>
          <w:b/>
          <w:sz w:val="35"/>
        </w:rPr>
      </w:pPr>
    </w:p>
    <w:p w14:paraId="0339FD7F" w14:textId="77777777" w:rsidR="000571E2" w:rsidRPr="00164A82" w:rsidRDefault="000571E2" w:rsidP="000571E2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3EA73479" w14:textId="77777777" w:rsidR="00560712" w:rsidRDefault="00560712" w:rsidP="00560712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560712" w14:paraId="0CE53D23" w14:textId="77777777" w:rsidTr="005979F0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2F94D036" w14:textId="77777777" w:rsidR="00560712" w:rsidRPr="00164A82" w:rsidRDefault="00560712" w:rsidP="005979F0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7B0481AD" w14:textId="77777777" w:rsidR="00560712" w:rsidRPr="00164A82" w:rsidRDefault="00560712" w:rsidP="005979F0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6EFD6C9" w14:textId="77777777" w:rsidR="00560712" w:rsidRPr="00164A82" w:rsidRDefault="00560712" w:rsidP="005979F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14:paraId="6A0FD07B" w14:textId="77777777" w:rsidR="00560712" w:rsidRPr="00164A82" w:rsidRDefault="00560712" w:rsidP="005979F0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7BBDFB70" w14:textId="77777777" w:rsidR="00560712" w:rsidRPr="00164A82" w:rsidRDefault="00560712" w:rsidP="005979F0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1974" w:type="dxa"/>
            <w:shd w:val="clear" w:color="auto" w:fill="D9D9D9"/>
            <w:vAlign w:val="center"/>
          </w:tcPr>
          <w:p w14:paraId="4263E216" w14:textId="77777777" w:rsidR="00560712" w:rsidRPr="00164A82" w:rsidRDefault="00560712" w:rsidP="005979F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</w:tr>
      <w:tr w:rsidR="00560712" w14:paraId="71DD1090" w14:textId="77777777" w:rsidTr="005979F0">
        <w:trPr>
          <w:trHeight w:val="566"/>
        </w:trPr>
        <w:tc>
          <w:tcPr>
            <w:tcW w:w="1811" w:type="dxa"/>
          </w:tcPr>
          <w:p w14:paraId="516724B5" w14:textId="77777777" w:rsidR="00560712" w:rsidRPr="00164A82" w:rsidRDefault="00560712" w:rsidP="005979F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7CF8080B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52599B76" w14:textId="77777777" w:rsidR="00560712" w:rsidRPr="00164A82" w:rsidRDefault="00560712" w:rsidP="005979F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52ADD54F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560712" w14:paraId="6BCD742E" w14:textId="77777777" w:rsidTr="005979F0">
        <w:trPr>
          <w:trHeight w:val="568"/>
        </w:trPr>
        <w:tc>
          <w:tcPr>
            <w:tcW w:w="1811" w:type="dxa"/>
          </w:tcPr>
          <w:p w14:paraId="48D14E7C" w14:textId="77777777" w:rsidR="00560712" w:rsidRPr="00164A82" w:rsidRDefault="00560712" w:rsidP="005979F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20BCD3B9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07133089" w14:textId="77777777" w:rsidR="00560712" w:rsidRPr="00164A82" w:rsidRDefault="00560712" w:rsidP="005979F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0639A076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560712" w14:paraId="15F32B5D" w14:textId="77777777" w:rsidTr="005979F0">
        <w:trPr>
          <w:trHeight w:val="566"/>
        </w:trPr>
        <w:tc>
          <w:tcPr>
            <w:tcW w:w="1811" w:type="dxa"/>
          </w:tcPr>
          <w:p w14:paraId="43EEF415" w14:textId="77777777" w:rsidR="00560712" w:rsidRPr="00164A82" w:rsidRDefault="00560712" w:rsidP="005979F0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4116AEB5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1E3930DE" w14:textId="77777777" w:rsidR="00560712" w:rsidRPr="00164A82" w:rsidRDefault="00560712" w:rsidP="005979F0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131489B2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560712" w14:paraId="1A5B7892" w14:textId="77777777" w:rsidTr="005979F0">
        <w:trPr>
          <w:trHeight w:val="568"/>
        </w:trPr>
        <w:tc>
          <w:tcPr>
            <w:tcW w:w="1811" w:type="dxa"/>
          </w:tcPr>
          <w:p w14:paraId="2CD33D04" w14:textId="77777777" w:rsidR="00560712" w:rsidRPr="00164A82" w:rsidRDefault="00560712" w:rsidP="005979F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3ED89F11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175B1623" w14:textId="77777777" w:rsidR="00560712" w:rsidRPr="00164A82" w:rsidRDefault="00560712" w:rsidP="005979F0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1C6CF0B8" w14:textId="77777777" w:rsidR="00560712" w:rsidRPr="006D15F9" w:rsidRDefault="00560712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422D3595" w14:textId="77777777" w:rsidR="00560712" w:rsidRDefault="00560712" w:rsidP="00560712">
      <w:pPr>
        <w:spacing w:before="120" w:line="360" w:lineRule="auto"/>
      </w:pPr>
    </w:p>
    <w:p w14:paraId="5344E810" w14:textId="77777777" w:rsidR="000A49B5" w:rsidRDefault="000A49B5" w:rsidP="00560712">
      <w:pPr>
        <w:spacing w:before="6"/>
      </w:pPr>
    </w:p>
    <w:sectPr w:rsidR="000A49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38A9" w14:textId="77777777" w:rsidR="00875217" w:rsidRDefault="00875217" w:rsidP="001E72D2">
      <w:pPr>
        <w:spacing w:line="240" w:lineRule="auto"/>
      </w:pPr>
      <w:r>
        <w:separator/>
      </w:r>
    </w:p>
  </w:endnote>
  <w:endnote w:type="continuationSeparator" w:id="0">
    <w:p w14:paraId="0BBBDC13" w14:textId="77777777" w:rsidR="00875217" w:rsidRDefault="00875217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6ED46DE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Pr="002B3D48">
      <w:rPr>
        <w:rFonts w:asciiTheme="minorHAnsi" w:hAnsiTheme="minorHAnsi" w:cstheme="minorHAnsi"/>
        <w:smallCaps/>
        <w:sz w:val="16"/>
        <w:szCs w:val="16"/>
      </w:rPr>
      <w:t>Cerpeg</w:t>
    </w:r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330761">
      <w:rPr>
        <w:rFonts w:asciiTheme="minorHAnsi" w:hAnsiTheme="minorHAnsi" w:cstheme="minorHAnsi"/>
        <w:sz w:val="16"/>
        <w:szCs w:val="16"/>
      </w:rPr>
      <w:t>–</w:t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="00330761">
      <w:rPr>
        <w:rFonts w:asciiTheme="minorHAnsi" w:hAnsiTheme="minorHAnsi" w:cstheme="minorHAnsi"/>
        <w:sz w:val="16"/>
        <w:szCs w:val="16"/>
      </w:rPr>
      <w:t>Catherine LE BOU</w:t>
    </w:r>
    <w:r w:rsidR="00284C57">
      <w:rPr>
        <w:rFonts w:asciiTheme="minorHAnsi" w:hAnsiTheme="minorHAnsi" w:cstheme="minorHAnsi"/>
        <w:sz w:val="16"/>
        <w:szCs w:val="16"/>
      </w:rPr>
      <w:t>R</w:t>
    </w:r>
    <w:r w:rsidR="00363540">
      <w:rPr>
        <w:rFonts w:asciiTheme="minorHAnsi" w:hAnsiTheme="minorHAnsi" w:cstheme="minorHAnsi"/>
        <w:sz w:val="16"/>
        <w:szCs w:val="16"/>
      </w:rPr>
      <w:t>H</w:t>
    </w:r>
    <w:r w:rsidR="00330761">
      <w:rPr>
        <w:rFonts w:asciiTheme="minorHAnsi" w:hAnsiTheme="minorHAnsi" w:cstheme="minorHAnsi"/>
        <w:sz w:val="16"/>
        <w:szCs w:val="16"/>
      </w:rPr>
      <w:t>IS Académie de Bordeaux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0E487" w14:textId="77777777" w:rsidR="00875217" w:rsidRDefault="00875217" w:rsidP="001E72D2">
      <w:pPr>
        <w:spacing w:line="240" w:lineRule="auto"/>
      </w:pPr>
      <w:r>
        <w:separator/>
      </w:r>
    </w:p>
  </w:footnote>
  <w:footnote w:type="continuationSeparator" w:id="0">
    <w:p w14:paraId="28DEEE4C" w14:textId="77777777" w:rsidR="00875217" w:rsidRDefault="00875217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EAAE" w14:textId="45ECD9BB" w:rsidR="000571E2" w:rsidRPr="000571E2" w:rsidRDefault="000571E2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4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0571E2"/>
    <w:rsid w:val="000A49B5"/>
    <w:rsid w:val="001E72D2"/>
    <w:rsid w:val="00265782"/>
    <w:rsid w:val="00284C57"/>
    <w:rsid w:val="002F3636"/>
    <w:rsid w:val="00330761"/>
    <w:rsid w:val="00363540"/>
    <w:rsid w:val="00397DEA"/>
    <w:rsid w:val="00560712"/>
    <w:rsid w:val="00576ED3"/>
    <w:rsid w:val="00587937"/>
    <w:rsid w:val="005B6A57"/>
    <w:rsid w:val="007D4B4A"/>
    <w:rsid w:val="00807D89"/>
    <w:rsid w:val="0086490F"/>
    <w:rsid w:val="00875217"/>
    <w:rsid w:val="008A7D6C"/>
    <w:rsid w:val="008E067C"/>
    <w:rsid w:val="0094190D"/>
    <w:rsid w:val="0094251A"/>
    <w:rsid w:val="009B3D4C"/>
    <w:rsid w:val="00AA38E3"/>
    <w:rsid w:val="00AC2BC5"/>
    <w:rsid w:val="00AE2871"/>
    <w:rsid w:val="00AE6AD5"/>
    <w:rsid w:val="00B162D0"/>
    <w:rsid w:val="00B251D4"/>
    <w:rsid w:val="00C90723"/>
    <w:rsid w:val="00D24B57"/>
    <w:rsid w:val="00D76DBE"/>
    <w:rsid w:val="00E900A3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571E2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571E2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571E2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71E2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6</cp:revision>
  <dcterms:created xsi:type="dcterms:W3CDTF">2020-11-11T19:33:00Z</dcterms:created>
  <dcterms:modified xsi:type="dcterms:W3CDTF">2020-11-11T20:07:00Z</dcterms:modified>
</cp:coreProperties>
</file>