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E6DC5" w14:textId="77777777" w:rsidR="003E1CF2" w:rsidRDefault="00EA0615"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68B69382" wp14:editId="3F45D67F">
            <wp:simplePos x="0" y="0"/>
            <wp:positionH relativeFrom="page">
              <wp:posOffset>1428750</wp:posOffset>
            </wp:positionH>
            <wp:positionV relativeFrom="paragraph">
              <wp:posOffset>-4445</wp:posOffset>
            </wp:positionV>
            <wp:extent cx="4895215" cy="32549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281" cy="3282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05E585" w14:textId="77777777" w:rsidR="00EA0615" w:rsidRDefault="00EA0615"/>
    <w:p w14:paraId="4343200B" w14:textId="77777777" w:rsidR="00EA0615" w:rsidRDefault="00EA0615"/>
    <w:p w14:paraId="0131223D" w14:textId="77777777" w:rsidR="00EA0615" w:rsidRDefault="00EA0615"/>
    <w:p w14:paraId="54FB2246" w14:textId="77777777" w:rsidR="00EA0615" w:rsidRDefault="00EA0615"/>
    <w:p w14:paraId="415EC666" w14:textId="77777777" w:rsidR="00EA0615" w:rsidRDefault="00EA0615"/>
    <w:p w14:paraId="6BEE1CBB" w14:textId="77777777" w:rsidR="00EA0615" w:rsidRDefault="00EA0615"/>
    <w:p w14:paraId="28D11E6E" w14:textId="77777777" w:rsidR="00EA0615" w:rsidRDefault="00EA0615"/>
    <w:p w14:paraId="79893C65" w14:textId="77777777" w:rsidR="00EA0615" w:rsidRDefault="00EA0615"/>
    <w:p w14:paraId="20DEF81D" w14:textId="77777777" w:rsidR="00EA0615" w:rsidRDefault="00EA0615"/>
    <w:p w14:paraId="24E1291C" w14:textId="77777777" w:rsidR="00EA0615" w:rsidRDefault="00EA0615" w:rsidP="00EA0615">
      <w:pPr>
        <w:spacing w:after="120"/>
      </w:pPr>
    </w:p>
    <w:p w14:paraId="6CF2CFF7" w14:textId="77777777" w:rsidR="00EA0615" w:rsidRDefault="00EA0615" w:rsidP="000F0220">
      <w:pPr>
        <w:jc w:val="both"/>
      </w:pPr>
      <w:r>
        <w:rPr>
          <w:color w:val="9A94B1"/>
        </w:rPr>
        <w:t xml:space="preserve">Les prix sont librement déterminés par les professionnels. L'information sur le prix d'un produit ou d'un service est donc </w:t>
      </w:r>
      <w:proofErr w:type="gramStart"/>
      <w:r>
        <w:rPr>
          <w:color w:val="9A94B1"/>
        </w:rPr>
        <w:t>primordiale</w:t>
      </w:r>
      <w:proofErr w:type="gramEnd"/>
      <w:r>
        <w:rPr>
          <w:color w:val="9A94B1"/>
        </w:rPr>
        <w:t xml:space="preserve"> pour le consommateur qui doit pouvoir choisir en toute connaissance de cause et sans avoir à le demander. Elle est également obligatoire.</w:t>
      </w:r>
    </w:p>
    <w:p w14:paraId="3A212ACC" w14:textId="77777777" w:rsidR="00EA0615" w:rsidRDefault="00EA0615" w:rsidP="000F0220">
      <w:pPr>
        <w:jc w:val="both"/>
        <w:sectPr w:rsidR="00EA0615" w:rsidSect="006267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25739586" w14:textId="77777777" w:rsidR="00EA0615" w:rsidRPr="00EA0615" w:rsidRDefault="00EA0615" w:rsidP="000F0220">
      <w:pPr>
        <w:spacing w:after="0"/>
        <w:jc w:val="both"/>
        <w:rPr>
          <w:b/>
          <w:bCs/>
        </w:rPr>
      </w:pPr>
      <w:r w:rsidRPr="00EA0615">
        <w:rPr>
          <w:b/>
          <w:bCs/>
        </w:rPr>
        <w:t>L’information sur les prix est obligatoire</w:t>
      </w:r>
    </w:p>
    <w:p w14:paraId="5E3BFF1C" w14:textId="2D0C4F39" w:rsidR="00EA0615" w:rsidRPr="00EA0615" w:rsidRDefault="00EA0615" w:rsidP="000F0220">
      <w:pPr>
        <w:spacing w:after="120"/>
        <w:jc w:val="both"/>
      </w:pPr>
      <w:r w:rsidRPr="00EA0615">
        <w:t>Depuisle1erjanvier1987,</w:t>
      </w:r>
      <w:r w:rsidR="00E776E6">
        <w:t xml:space="preserve"> </w:t>
      </w:r>
      <w:r w:rsidRPr="00EA0615">
        <w:t>tous</w:t>
      </w:r>
      <w:r w:rsidR="00E776E6">
        <w:t xml:space="preserve"> </w:t>
      </w:r>
      <w:r w:rsidRPr="00EA0615">
        <w:t>les</w:t>
      </w:r>
      <w:r w:rsidR="00E776E6">
        <w:t xml:space="preserve"> </w:t>
      </w:r>
      <w:r w:rsidRPr="00EA0615">
        <w:t>prix</w:t>
      </w:r>
      <w:r w:rsidR="00E776E6">
        <w:t xml:space="preserve"> </w:t>
      </w:r>
      <w:r w:rsidRPr="00EA0615">
        <w:t>sont</w:t>
      </w:r>
      <w:r w:rsidR="00E776E6">
        <w:t xml:space="preserve"> </w:t>
      </w:r>
      <w:r w:rsidRPr="00EA0615">
        <w:t>libres,</w:t>
      </w:r>
      <w:r w:rsidR="00E776E6">
        <w:t xml:space="preserve"> </w:t>
      </w:r>
      <w:r w:rsidRPr="00EA0615">
        <w:t>à quelques</w:t>
      </w:r>
      <w:r w:rsidR="00E776E6">
        <w:t xml:space="preserve"> </w:t>
      </w:r>
      <w:r w:rsidRPr="00EA0615">
        <w:t>exceptions</w:t>
      </w:r>
      <w:r w:rsidR="00E776E6">
        <w:t xml:space="preserve"> </w:t>
      </w:r>
      <w:r w:rsidRPr="00EA0615">
        <w:t>près,</w:t>
      </w:r>
      <w:r w:rsidR="00E776E6">
        <w:t xml:space="preserve"> </w:t>
      </w:r>
      <w:r w:rsidRPr="00EA0615">
        <w:t>lorsque</w:t>
      </w:r>
      <w:r w:rsidR="00E776E6">
        <w:t xml:space="preserve"> </w:t>
      </w:r>
      <w:r w:rsidRPr="00EA0615">
        <w:t>la</w:t>
      </w:r>
      <w:r w:rsidR="00E776E6">
        <w:t xml:space="preserve"> </w:t>
      </w:r>
      <w:r w:rsidRPr="00EA0615">
        <w:t>concurrence</w:t>
      </w:r>
      <w:r w:rsidR="00E776E6">
        <w:t xml:space="preserve"> </w:t>
      </w:r>
      <w:r w:rsidRPr="00EA0615">
        <w:t>est inexistante ou insuffisante : certains transports publics, taxis, tarifs réglementés du gaz et de l'électricité, cas particulier des livres,</w:t>
      </w:r>
      <w:r w:rsidR="00E776E6">
        <w:t xml:space="preserve"> </w:t>
      </w:r>
      <w:r w:rsidRPr="00EA0615">
        <w:t>etc.</w:t>
      </w:r>
    </w:p>
    <w:p w14:paraId="3EB6AF50" w14:textId="77777777" w:rsidR="00EA0615" w:rsidRPr="00EA0615" w:rsidRDefault="00EA0615" w:rsidP="000F0220">
      <w:pPr>
        <w:spacing w:after="0"/>
        <w:jc w:val="both"/>
        <w:rPr>
          <w:b/>
          <w:bCs/>
        </w:rPr>
      </w:pPr>
      <w:r w:rsidRPr="00EA0615">
        <w:rPr>
          <w:b/>
          <w:bCs/>
        </w:rPr>
        <w:t>Le principe</w:t>
      </w:r>
    </w:p>
    <w:p w14:paraId="01705740" w14:textId="77777777" w:rsidR="00EA0615" w:rsidRPr="00EA0615" w:rsidRDefault="00EA0615" w:rsidP="000F0220">
      <w:pPr>
        <w:spacing w:after="120"/>
        <w:jc w:val="both"/>
      </w:pPr>
      <w:r w:rsidRPr="00EA0615">
        <w:t>Les prix des produits ou services disponibles à la vente, ainsi que les conditions particulières de la vente et de l’exécution des services, doivent être visibles et compréhensibles, exprimés en euros et toutes taxes comprises.</w:t>
      </w:r>
    </w:p>
    <w:p w14:paraId="4DCFD4CB" w14:textId="01F90759" w:rsidR="00EA0615" w:rsidRPr="00EA0615" w:rsidRDefault="00EA0615" w:rsidP="000F0220">
      <w:pPr>
        <w:spacing w:after="120"/>
        <w:jc w:val="both"/>
        <w:rPr>
          <w:b/>
          <w:bCs/>
        </w:rPr>
      </w:pPr>
      <w:r w:rsidRPr="00EA0615">
        <w:rPr>
          <w:b/>
          <w:bCs/>
        </w:rPr>
        <w:t>L’information sur les prix est obligatoire quelles que soient les formes de vente : en magasin, à distance (correspondance, téléachat, internet), hors établissement commercial (à domicile,</w:t>
      </w:r>
      <w:r w:rsidR="00E776E6">
        <w:rPr>
          <w:b/>
          <w:bCs/>
        </w:rPr>
        <w:t xml:space="preserve"> </w:t>
      </w:r>
      <w:r w:rsidRPr="00EA0615">
        <w:rPr>
          <w:b/>
          <w:bCs/>
        </w:rPr>
        <w:t>dans les lieux inhabituels de vente,</w:t>
      </w:r>
      <w:r w:rsidR="00E776E6">
        <w:rPr>
          <w:b/>
          <w:bCs/>
        </w:rPr>
        <w:t xml:space="preserve"> </w:t>
      </w:r>
      <w:r w:rsidRPr="00EA0615">
        <w:rPr>
          <w:b/>
          <w:bCs/>
        </w:rPr>
        <w:t>etc.).</w:t>
      </w:r>
    </w:p>
    <w:p w14:paraId="39233F79" w14:textId="410DC5F0" w:rsidR="00EA0615" w:rsidRPr="00EA0615" w:rsidRDefault="00EA0615" w:rsidP="000F0220">
      <w:pPr>
        <w:spacing w:after="120"/>
        <w:jc w:val="both"/>
      </w:pPr>
      <w:r w:rsidRPr="00EA0615">
        <w:t xml:space="preserve">Le professionnel a </w:t>
      </w:r>
      <w:r w:rsidRPr="00EA0615">
        <w:rPr>
          <w:b/>
          <w:bCs/>
        </w:rPr>
        <w:t xml:space="preserve">l’obligation d’informer le consommateur </w:t>
      </w:r>
      <w:r w:rsidRPr="00EA0615">
        <w:rPr>
          <w:b/>
          <w:bCs/>
          <w:u w:val="single"/>
        </w:rPr>
        <w:t>avant</w:t>
      </w:r>
      <w:r w:rsidRPr="00EA0615">
        <w:rPr>
          <w:b/>
          <w:bCs/>
        </w:rPr>
        <w:t xml:space="preserve"> la conclusion </w:t>
      </w:r>
      <w:r w:rsidRPr="00EA0615">
        <w:rPr>
          <w:b/>
          <w:bCs/>
        </w:rPr>
        <w:t>du contrat</w:t>
      </w:r>
      <w:r w:rsidR="00E776E6">
        <w:rPr>
          <w:b/>
          <w:bCs/>
        </w:rPr>
        <w:t xml:space="preserve"> </w:t>
      </w:r>
      <w:r w:rsidRPr="00EA0615">
        <w:rPr>
          <w:b/>
          <w:bCs/>
        </w:rPr>
        <w:t>de vente.</w:t>
      </w:r>
      <w:r w:rsidR="00E776E6">
        <w:rPr>
          <w:b/>
          <w:bCs/>
        </w:rPr>
        <w:t xml:space="preserve"> </w:t>
      </w:r>
      <w:r w:rsidRPr="00EA0615">
        <w:t>Il</w:t>
      </w:r>
      <w:r w:rsidR="00E776E6">
        <w:t xml:space="preserve"> </w:t>
      </w:r>
      <w:r w:rsidRPr="00EA0615">
        <w:t>doit</w:t>
      </w:r>
      <w:r w:rsidR="00E776E6">
        <w:t xml:space="preserve"> </w:t>
      </w:r>
      <w:r w:rsidRPr="00EA0615">
        <w:t>être</w:t>
      </w:r>
      <w:r w:rsidR="00E776E6">
        <w:t xml:space="preserve"> </w:t>
      </w:r>
      <w:r w:rsidRPr="00EA0615">
        <w:t>en</w:t>
      </w:r>
      <w:r w:rsidR="00E776E6">
        <w:t xml:space="preserve"> </w:t>
      </w:r>
      <w:r w:rsidRPr="00EA0615">
        <w:t>mesure</w:t>
      </w:r>
      <w:r w:rsidR="00E776E6">
        <w:t xml:space="preserve"> </w:t>
      </w:r>
      <w:r w:rsidRPr="00EA0615">
        <w:t>de</w:t>
      </w:r>
      <w:r w:rsidR="00E776E6">
        <w:t xml:space="preserve"> </w:t>
      </w:r>
      <w:r w:rsidRPr="00EA0615">
        <w:t>connaître</w:t>
      </w:r>
      <w:r w:rsidR="00E776E6">
        <w:t xml:space="preserve"> </w:t>
      </w:r>
      <w:r w:rsidRPr="00EA0615">
        <w:t>le</w:t>
      </w:r>
      <w:r w:rsidR="00E776E6">
        <w:t xml:space="preserve"> </w:t>
      </w:r>
      <w:r w:rsidRPr="00EA0615">
        <w:t>prix</w:t>
      </w:r>
      <w:r w:rsidR="00E776E6">
        <w:t xml:space="preserve"> </w:t>
      </w:r>
      <w:r w:rsidRPr="00EA0615">
        <w:t>qu'il aura à payer sans être obligé de le demander. Le professionnel peut procéder par voie de marquage, étiquetage, affichage ou par tout autre procédé</w:t>
      </w:r>
      <w:r w:rsidR="00E776E6">
        <w:t xml:space="preserve"> </w:t>
      </w:r>
      <w:r w:rsidRPr="00EA0615">
        <w:t>approprié. Le prix affiché doit être lisible soit de l'extérieur, soit de l'intérieur, selon le lieu où sont exposés les</w:t>
      </w:r>
      <w:r w:rsidR="00E776E6">
        <w:t xml:space="preserve"> </w:t>
      </w:r>
      <w:r w:rsidRPr="00EA0615">
        <w:t>produits.</w:t>
      </w:r>
      <w:r w:rsidR="00E776E6">
        <w:t xml:space="preserve"> </w:t>
      </w:r>
      <w:r w:rsidRPr="00EA0615">
        <w:t>[…]</w:t>
      </w:r>
    </w:p>
    <w:p w14:paraId="1846CE17" w14:textId="77777777" w:rsidR="00EA0615" w:rsidRPr="00EA0615" w:rsidRDefault="00EA0615" w:rsidP="000F0220">
      <w:pPr>
        <w:spacing w:after="0"/>
        <w:jc w:val="both"/>
        <w:rPr>
          <w:b/>
          <w:bCs/>
        </w:rPr>
      </w:pPr>
      <w:r w:rsidRPr="00EA0615">
        <w:rPr>
          <w:b/>
          <w:bCs/>
        </w:rPr>
        <w:t>Pour les produits</w:t>
      </w:r>
    </w:p>
    <w:p w14:paraId="6F5D069E" w14:textId="2A4C02A2" w:rsidR="00EA0615" w:rsidRPr="00EA0615" w:rsidRDefault="00EA0615" w:rsidP="000F0220">
      <w:pPr>
        <w:jc w:val="both"/>
      </w:pPr>
      <w:r w:rsidRPr="00EA0615">
        <w:t>Le prix peut être indiqué sur le produit lui-même au moyen d'une étiquette ou sur un écriteau placé à proximité directe du ou des produits de façon qu'il n'existe aucune incertitude quant à celui auquel il se rapporte.</w:t>
      </w:r>
      <w:r w:rsidR="00E776E6">
        <w:t xml:space="preserve"> </w:t>
      </w:r>
      <w:r w:rsidRPr="00EA0615">
        <w:t>[…]</w:t>
      </w:r>
    </w:p>
    <w:p w14:paraId="5ED3D96D" w14:textId="358E2C73" w:rsidR="00EA0615" w:rsidRPr="00EA0615" w:rsidRDefault="00EA0615" w:rsidP="000F0220">
      <w:pPr>
        <w:spacing w:after="0"/>
        <w:jc w:val="both"/>
        <w:rPr>
          <w:b/>
          <w:bCs/>
        </w:rPr>
      </w:pPr>
      <w:r w:rsidRPr="00EA0615">
        <w:rPr>
          <w:b/>
          <w:bCs/>
        </w:rPr>
        <w:t>Les produits</w:t>
      </w:r>
      <w:r w:rsidR="00E776E6">
        <w:rPr>
          <w:b/>
          <w:bCs/>
        </w:rPr>
        <w:t xml:space="preserve"> </w:t>
      </w:r>
      <w:r w:rsidRPr="00EA0615">
        <w:rPr>
          <w:b/>
          <w:bCs/>
        </w:rPr>
        <w:t>préemballés</w:t>
      </w:r>
    </w:p>
    <w:p w14:paraId="00491886" w14:textId="486F4DCC" w:rsidR="00EA0615" w:rsidRDefault="00EA0615" w:rsidP="000F0220">
      <w:pPr>
        <w:jc w:val="both"/>
        <w:sectPr w:rsidR="00EA0615" w:rsidSect="00EA06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A0615">
        <w:t>En plus du prix de vente, le consommateur doit être informé du prix à l'unité de mesure (prix au kilogramme, au litre) accompagné de l'unité de mesure. C'est le cas pour la majorité des produits alimentaires et certains produits d'hygiène et d'entretien.</w:t>
      </w:r>
      <w:r w:rsidR="00E776E6">
        <w:t xml:space="preserve"> </w:t>
      </w:r>
      <w:r w:rsidRPr="00EA0615">
        <w:t>[</w:t>
      </w:r>
      <w:r>
        <w:t>…]</w:t>
      </w:r>
    </w:p>
    <w:p w14:paraId="0F3E6BB4" w14:textId="2FC5BE0D" w:rsidR="00EA0615" w:rsidRDefault="00EA0615" w:rsidP="00EA0615">
      <w:pPr>
        <w:jc w:val="right"/>
        <w:rPr>
          <w:i/>
          <w:iCs/>
          <w:sz w:val="18"/>
          <w:szCs w:val="18"/>
        </w:rPr>
      </w:pPr>
      <w:r w:rsidRPr="00EA0615">
        <w:rPr>
          <w:i/>
          <w:iCs/>
          <w:sz w:val="18"/>
          <w:szCs w:val="18"/>
        </w:rPr>
        <w:t>https://www.economie.gouv.fr</w:t>
      </w:r>
    </w:p>
    <w:p w14:paraId="5018BC3B" w14:textId="5FFA1686" w:rsidR="00AB3409" w:rsidRPr="00AB3409" w:rsidRDefault="00AB3409" w:rsidP="00AB3409">
      <w:pPr>
        <w:tabs>
          <w:tab w:val="left" w:pos="34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AB3409" w:rsidRPr="00AB3409" w:rsidSect="00EA06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D278E" w14:textId="77777777" w:rsidR="00B8383D" w:rsidRDefault="00B8383D" w:rsidP="00A43ECC">
      <w:pPr>
        <w:spacing w:after="0" w:line="240" w:lineRule="auto"/>
      </w:pPr>
      <w:r>
        <w:separator/>
      </w:r>
    </w:p>
  </w:endnote>
  <w:endnote w:type="continuationSeparator" w:id="0">
    <w:p w14:paraId="6291B2A8" w14:textId="77777777" w:rsidR="00B8383D" w:rsidRDefault="00B8383D" w:rsidP="00A4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DC30B" w14:textId="77777777" w:rsidR="00D17E51" w:rsidRDefault="00D17E5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AE433" w14:textId="2FD29193" w:rsidR="00D17E51" w:rsidRPr="00D17E51" w:rsidRDefault="00D17E51" w:rsidP="00D17E51">
    <w:pPr>
      <w:pStyle w:val="Pieddepage"/>
      <w:tabs>
        <w:tab w:val="clear" w:pos="9072"/>
        <w:tab w:val="left" w:pos="8931"/>
      </w:tabs>
      <w:ind w:left="567" w:right="-24"/>
      <w:rPr>
        <w:rFonts w:cstheme="minorHAnsi"/>
        <w:sz w:val="16"/>
        <w:szCs w:val="16"/>
      </w:rPr>
    </w:pPr>
    <w:r w:rsidRPr="002B3D48">
      <w:rPr>
        <w:rFonts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5BAC99B" wp14:editId="69D4E2E6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cstheme="minorHAnsi"/>
        <w:sz w:val="16"/>
        <w:szCs w:val="16"/>
      </w:rPr>
      <w:t xml:space="preserve"> </w:t>
    </w:r>
    <w:r w:rsidRPr="002B3D48">
      <w:rPr>
        <w:rFonts w:cstheme="minorHAnsi"/>
        <w:smallCaps/>
        <w:sz w:val="16"/>
        <w:szCs w:val="16"/>
      </w:rPr>
      <w:t>Cerpeg</w:t>
    </w:r>
    <w:r w:rsidRPr="002B3D48">
      <w:rPr>
        <w:rFonts w:cstheme="minorHAnsi"/>
        <w:sz w:val="16"/>
        <w:szCs w:val="16"/>
      </w:rPr>
      <w:t xml:space="preserve"> 202</w:t>
    </w:r>
    <w:r>
      <w:rPr>
        <w:rFonts w:cstheme="minorHAnsi"/>
        <w:sz w:val="16"/>
        <w:szCs w:val="16"/>
      </w:rPr>
      <w:t xml:space="preserve">1 </w:t>
    </w:r>
    <w:r w:rsidRPr="002B3D48">
      <w:rPr>
        <w:rFonts w:cstheme="minorHAnsi"/>
        <w:sz w:val="16"/>
        <w:szCs w:val="16"/>
      </w:rPr>
      <w:t xml:space="preserve">| </w:t>
    </w:r>
    <w:r>
      <w:rPr>
        <w:rFonts w:cstheme="minorHAnsi"/>
        <w:sz w:val="16"/>
        <w:szCs w:val="16"/>
      </w:rPr>
      <w:t>Co-Intervention Maths–</w:t>
    </w:r>
    <w:r w:rsidRPr="002B3D48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Antoinette</w:t>
    </w:r>
    <w:r w:rsidR="00AB3409">
      <w:rPr>
        <w:rFonts w:cstheme="minorHAnsi"/>
        <w:sz w:val="16"/>
        <w:szCs w:val="16"/>
      </w:rPr>
      <w:t xml:space="preserve"> </w:t>
    </w:r>
    <w:r w:rsidR="00AB3409">
      <w:rPr>
        <w:rFonts w:cstheme="minorHAnsi"/>
        <w:sz w:val="16"/>
        <w:szCs w:val="16"/>
      </w:rPr>
      <w:t>et Vivian</w:t>
    </w:r>
    <w:r>
      <w:rPr>
        <w:rFonts w:cstheme="minorHAnsi"/>
        <w:sz w:val="16"/>
        <w:szCs w:val="16"/>
      </w:rPr>
      <w:t xml:space="preserve"> FLOIRAC Académie de Versailles</w:t>
    </w:r>
    <w:r w:rsidRPr="002B3D48">
      <w:rPr>
        <w:rFonts w:cstheme="minorHAnsi"/>
        <w:sz w:val="16"/>
        <w:szCs w:val="16"/>
      </w:rPr>
      <w:tab/>
    </w:r>
    <w:r w:rsidRPr="002B3D48">
      <w:rPr>
        <w:rFonts w:cstheme="minorHAnsi"/>
        <w:sz w:val="16"/>
        <w:szCs w:val="16"/>
      </w:rPr>
      <w:fldChar w:fldCharType="begin"/>
    </w:r>
    <w:r w:rsidRPr="002B3D48">
      <w:rPr>
        <w:rFonts w:cstheme="minorHAnsi"/>
        <w:sz w:val="16"/>
        <w:szCs w:val="16"/>
      </w:rPr>
      <w:instrText xml:space="preserve"> PAGE  \* Arabic  \* MERGEFORMAT </w:instrText>
    </w:r>
    <w:r w:rsidRPr="002B3D48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41328" w14:textId="77777777" w:rsidR="00D17E51" w:rsidRDefault="00D17E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13A62" w14:textId="77777777" w:rsidR="00B8383D" w:rsidRDefault="00B8383D" w:rsidP="00A43ECC">
      <w:pPr>
        <w:spacing w:after="0" w:line="240" w:lineRule="auto"/>
      </w:pPr>
      <w:r>
        <w:separator/>
      </w:r>
    </w:p>
  </w:footnote>
  <w:footnote w:type="continuationSeparator" w:id="0">
    <w:p w14:paraId="0E6568DF" w14:textId="77777777" w:rsidR="00B8383D" w:rsidRDefault="00B8383D" w:rsidP="00A43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33FAC" w14:textId="77777777" w:rsidR="00D17E51" w:rsidRDefault="00D17E5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CF561" w14:textId="623187FB" w:rsidR="00A43ECC" w:rsidRPr="00D17E51" w:rsidRDefault="00A43ECC" w:rsidP="00D17E51">
    <w:pPr>
      <w:pStyle w:val="En-tte"/>
      <w:jc w:val="center"/>
      <w:rPr>
        <w:sz w:val="28"/>
        <w:szCs w:val="28"/>
      </w:rPr>
    </w:pPr>
    <w:r w:rsidRPr="00D17E51">
      <w:rPr>
        <w:sz w:val="28"/>
        <w:szCs w:val="28"/>
      </w:rPr>
      <w:t xml:space="preserve">Fiche référence </w:t>
    </w:r>
    <w:r w:rsidRPr="00D17E51">
      <w:rPr>
        <w:sz w:val="28"/>
        <w:szCs w:val="28"/>
      </w:rPr>
      <w:tab/>
    </w:r>
    <w:r w:rsidR="00C50581" w:rsidRPr="00D17E51">
      <w:rPr>
        <w:sz w:val="28"/>
        <w:szCs w:val="28"/>
      </w:rPr>
      <w:tab/>
    </w:r>
    <w:r w:rsidRPr="00D17E51">
      <w:rPr>
        <w:sz w:val="28"/>
        <w:szCs w:val="28"/>
      </w:rPr>
      <w:t>L’information sur les prix</w:t>
    </w:r>
  </w:p>
  <w:p w14:paraId="54CE3D6A" w14:textId="77777777" w:rsidR="00A43ECC" w:rsidRDefault="00A43EC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7D73C" w14:textId="77777777" w:rsidR="00D17E51" w:rsidRDefault="00D17E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A6B1C"/>
    <w:multiLevelType w:val="hybridMultilevel"/>
    <w:tmpl w:val="DEA275E8"/>
    <w:lvl w:ilvl="0" w:tplc="AF4C9282">
      <w:numFmt w:val="bullet"/>
      <w:lvlText w:val="►"/>
      <w:lvlJc w:val="left"/>
      <w:pPr>
        <w:ind w:left="474" w:hanging="358"/>
      </w:pPr>
      <w:rPr>
        <w:rFonts w:ascii="Arial" w:eastAsia="Arial" w:hAnsi="Arial" w:cs="Arial" w:hint="default"/>
        <w:color w:val="9A94B3"/>
        <w:spacing w:val="-21"/>
        <w:w w:val="99"/>
        <w:sz w:val="18"/>
        <w:szCs w:val="18"/>
        <w:lang w:val="fr-FR" w:eastAsia="fr-FR" w:bidi="fr-FR"/>
      </w:rPr>
    </w:lvl>
    <w:lvl w:ilvl="1" w:tplc="0E7C12E0">
      <w:numFmt w:val="bullet"/>
      <w:lvlText w:val="•"/>
      <w:lvlJc w:val="left"/>
      <w:pPr>
        <w:ind w:left="866" w:hanging="358"/>
      </w:pPr>
      <w:rPr>
        <w:rFonts w:hint="default"/>
        <w:lang w:val="fr-FR" w:eastAsia="fr-FR" w:bidi="fr-FR"/>
      </w:rPr>
    </w:lvl>
    <w:lvl w:ilvl="2" w:tplc="8B0486CE">
      <w:numFmt w:val="bullet"/>
      <w:lvlText w:val="•"/>
      <w:lvlJc w:val="left"/>
      <w:pPr>
        <w:ind w:left="1252" w:hanging="358"/>
      </w:pPr>
      <w:rPr>
        <w:rFonts w:hint="default"/>
        <w:lang w:val="fr-FR" w:eastAsia="fr-FR" w:bidi="fr-FR"/>
      </w:rPr>
    </w:lvl>
    <w:lvl w:ilvl="3" w:tplc="075ED9B6">
      <w:numFmt w:val="bullet"/>
      <w:lvlText w:val="•"/>
      <w:lvlJc w:val="left"/>
      <w:pPr>
        <w:ind w:left="1638" w:hanging="358"/>
      </w:pPr>
      <w:rPr>
        <w:rFonts w:hint="default"/>
        <w:lang w:val="fr-FR" w:eastAsia="fr-FR" w:bidi="fr-FR"/>
      </w:rPr>
    </w:lvl>
    <w:lvl w:ilvl="4" w:tplc="DC6837DC">
      <w:numFmt w:val="bullet"/>
      <w:lvlText w:val="•"/>
      <w:lvlJc w:val="left"/>
      <w:pPr>
        <w:ind w:left="2024" w:hanging="358"/>
      </w:pPr>
      <w:rPr>
        <w:rFonts w:hint="default"/>
        <w:lang w:val="fr-FR" w:eastAsia="fr-FR" w:bidi="fr-FR"/>
      </w:rPr>
    </w:lvl>
    <w:lvl w:ilvl="5" w:tplc="47D6572C">
      <w:numFmt w:val="bullet"/>
      <w:lvlText w:val="•"/>
      <w:lvlJc w:val="left"/>
      <w:pPr>
        <w:ind w:left="2410" w:hanging="358"/>
      </w:pPr>
      <w:rPr>
        <w:rFonts w:hint="default"/>
        <w:lang w:val="fr-FR" w:eastAsia="fr-FR" w:bidi="fr-FR"/>
      </w:rPr>
    </w:lvl>
    <w:lvl w:ilvl="6" w:tplc="A2A2C172">
      <w:numFmt w:val="bullet"/>
      <w:lvlText w:val="•"/>
      <w:lvlJc w:val="left"/>
      <w:pPr>
        <w:ind w:left="2796" w:hanging="358"/>
      </w:pPr>
      <w:rPr>
        <w:rFonts w:hint="default"/>
        <w:lang w:val="fr-FR" w:eastAsia="fr-FR" w:bidi="fr-FR"/>
      </w:rPr>
    </w:lvl>
    <w:lvl w:ilvl="7" w:tplc="CB24DEAA">
      <w:numFmt w:val="bullet"/>
      <w:lvlText w:val="•"/>
      <w:lvlJc w:val="left"/>
      <w:pPr>
        <w:ind w:left="3182" w:hanging="358"/>
      </w:pPr>
      <w:rPr>
        <w:rFonts w:hint="default"/>
        <w:lang w:val="fr-FR" w:eastAsia="fr-FR" w:bidi="fr-FR"/>
      </w:rPr>
    </w:lvl>
    <w:lvl w:ilvl="8" w:tplc="AF6EA85A">
      <w:numFmt w:val="bullet"/>
      <w:lvlText w:val="•"/>
      <w:lvlJc w:val="left"/>
      <w:pPr>
        <w:ind w:left="3568" w:hanging="358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615"/>
    <w:rsid w:val="000F0220"/>
    <w:rsid w:val="003A6860"/>
    <w:rsid w:val="003E1CF2"/>
    <w:rsid w:val="003E6672"/>
    <w:rsid w:val="006267B1"/>
    <w:rsid w:val="00680351"/>
    <w:rsid w:val="00A43ECC"/>
    <w:rsid w:val="00A47365"/>
    <w:rsid w:val="00AB3409"/>
    <w:rsid w:val="00B8383D"/>
    <w:rsid w:val="00C50581"/>
    <w:rsid w:val="00D17E51"/>
    <w:rsid w:val="00D54204"/>
    <w:rsid w:val="00E6374E"/>
    <w:rsid w:val="00E776E6"/>
    <w:rsid w:val="00EA0615"/>
    <w:rsid w:val="00EF3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F49F"/>
  <w15:docId w15:val="{F1C5E1C5-A6EE-42A0-85AB-36195AB6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DF6"/>
  </w:style>
  <w:style w:type="paragraph" w:styleId="Titre1">
    <w:name w:val="heading 1"/>
    <w:basedOn w:val="Normal"/>
    <w:link w:val="Titre1Car"/>
    <w:uiPriority w:val="9"/>
    <w:qFormat/>
    <w:rsid w:val="00EA0615"/>
    <w:pPr>
      <w:widowControl w:val="0"/>
      <w:autoSpaceDE w:val="0"/>
      <w:autoSpaceDN w:val="0"/>
      <w:spacing w:after="0" w:line="240" w:lineRule="auto"/>
      <w:ind w:left="116"/>
      <w:jc w:val="both"/>
      <w:outlineLvl w:val="0"/>
    </w:pPr>
    <w:rPr>
      <w:rFonts w:eastAsia="Arial" w:cs="Arial"/>
      <w:b/>
      <w:bCs/>
      <w:lang w:eastAsia="fr-FR" w:bidi="fr-FR"/>
    </w:rPr>
  </w:style>
  <w:style w:type="paragraph" w:styleId="Titre2">
    <w:name w:val="heading 2"/>
    <w:basedOn w:val="Normal"/>
    <w:link w:val="Titre2Car"/>
    <w:uiPriority w:val="9"/>
    <w:unhideWhenUsed/>
    <w:qFormat/>
    <w:rsid w:val="00EA0615"/>
    <w:pPr>
      <w:widowControl w:val="0"/>
      <w:autoSpaceDE w:val="0"/>
      <w:autoSpaceDN w:val="0"/>
      <w:spacing w:before="114" w:after="0" w:line="240" w:lineRule="auto"/>
      <w:ind w:left="140"/>
      <w:jc w:val="both"/>
      <w:outlineLvl w:val="1"/>
    </w:pPr>
    <w:rPr>
      <w:rFonts w:eastAsia="Arial" w:cs="Arial"/>
      <w:b/>
      <w:bCs/>
      <w:sz w:val="18"/>
      <w:szCs w:val="18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0615"/>
    <w:rPr>
      <w:rFonts w:eastAsia="Arial" w:cs="Arial"/>
      <w:b/>
      <w:bCs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EA0615"/>
    <w:rPr>
      <w:rFonts w:eastAsia="Arial" w:cs="Arial"/>
      <w:b/>
      <w:bCs/>
      <w:sz w:val="18"/>
      <w:szCs w:val="18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EA0615"/>
    <w:pPr>
      <w:widowControl w:val="0"/>
      <w:autoSpaceDE w:val="0"/>
      <w:autoSpaceDN w:val="0"/>
      <w:spacing w:after="0" w:line="240" w:lineRule="auto"/>
    </w:pPr>
    <w:rPr>
      <w:rFonts w:eastAsia="Arial" w:cs="Arial"/>
      <w:sz w:val="18"/>
      <w:szCs w:val="18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EA0615"/>
    <w:rPr>
      <w:rFonts w:eastAsia="Arial" w:cs="Arial"/>
      <w:sz w:val="18"/>
      <w:szCs w:val="18"/>
      <w:lang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A4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ECC"/>
  </w:style>
  <w:style w:type="paragraph" w:styleId="Pieddepage">
    <w:name w:val="footer"/>
    <w:basedOn w:val="Normal"/>
    <w:link w:val="PieddepageCar"/>
    <w:uiPriority w:val="99"/>
    <w:unhideWhenUsed/>
    <w:rsid w:val="00A4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314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floirac</dc:creator>
  <cp:keywords/>
  <dc:description/>
  <cp:lastModifiedBy>fabienne mauri</cp:lastModifiedBy>
  <cp:revision>8</cp:revision>
  <dcterms:created xsi:type="dcterms:W3CDTF">2021-02-19T07:42:00Z</dcterms:created>
  <dcterms:modified xsi:type="dcterms:W3CDTF">2021-03-23T09:20:00Z</dcterms:modified>
</cp:coreProperties>
</file>